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56" w:rsidRDefault="003E3F56" w:rsidP="00892AEB">
      <w:pPr>
        <w:spacing w:before="120" w:after="120"/>
        <w:jc w:val="center"/>
      </w:pPr>
    </w:p>
    <w:p w:rsidR="003E3F56" w:rsidRDefault="003E3F56" w:rsidP="00892AEB">
      <w:pPr>
        <w:spacing w:before="120" w:after="120"/>
        <w:jc w:val="center"/>
      </w:pPr>
    </w:p>
    <w:p w:rsidR="003E3F56" w:rsidRDefault="003E3F56" w:rsidP="00892AEB">
      <w:pPr>
        <w:spacing w:before="120" w:after="120"/>
        <w:jc w:val="center"/>
      </w:pPr>
    </w:p>
    <w:p w:rsidR="003E3F56" w:rsidRDefault="003E3F56" w:rsidP="00892AEB">
      <w:pPr>
        <w:spacing w:before="120" w:after="120"/>
        <w:jc w:val="center"/>
      </w:pPr>
    </w:p>
    <w:p w:rsidR="003E3F56" w:rsidRDefault="003E3F56" w:rsidP="00892AEB">
      <w:pPr>
        <w:spacing w:before="120" w:after="120"/>
        <w:jc w:val="center"/>
      </w:pPr>
    </w:p>
    <w:p w:rsidR="003E3F56" w:rsidRDefault="003E3F56" w:rsidP="00892AEB">
      <w:pPr>
        <w:spacing w:before="120" w:after="120"/>
        <w:jc w:val="center"/>
      </w:pPr>
    </w:p>
    <w:p w:rsidR="003E3F56" w:rsidRDefault="003E3F56" w:rsidP="00892AEB">
      <w:pPr>
        <w:spacing w:before="120" w:after="120"/>
        <w:jc w:val="center"/>
      </w:pPr>
    </w:p>
    <w:p w:rsidR="00A74E33" w:rsidRDefault="003E3F56" w:rsidP="00892AEB">
      <w:pPr>
        <w:spacing w:before="120" w:after="120"/>
        <w:jc w:val="center"/>
      </w:pPr>
      <w:r>
        <w:t>Needs Assessment</w:t>
      </w:r>
    </w:p>
    <w:p w:rsidR="003E3F56" w:rsidRDefault="003E3F56" w:rsidP="00892AEB">
      <w:pPr>
        <w:spacing w:before="120" w:after="120"/>
        <w:jc w:val="center"/>
      </w:pPr>
      <w:r>
        <w:t>Student’s Name</w:t>
      </w:r>
    </w:p>
    <w:p w:rsidR="003E3F56" w:rsidRDefault="003E3F56" w:rsidP="00892AEB">
      <w:pPr>
        <w:spacing w:before="120" w:after="120"/>
        <w:jc w:val="center"/>
      </w:pPr>
      <w:r>
        <w:t>Institution</w:t>
      </w:r>
    </w:p>
    <w:p w:rsidR="003E3F56" w:rsidRDefault="003E3F56" w:rsidP="00892AEB">
      <w:pPr>
        <w:spacing w:before="120" w:after="120"/>
        <w:jc w:val="center"/>
      </w:pPr>
      <w:r>
        <w:t>Date</w:t>
      </w:r>
    </w:p>
    <w:p w:rsidR="003E3F56" w:rsidRDefault="003E3F56" w:rsidP="00892AEB">
      <w:pPr>
        <w:spacing w:before="120" w:after="120"/>
      </w:pPr>
      <w:r>
        <w:br w:type="page"/>
      </w:r>
    </w:p>
    <w:p w:rsidR="003E3F56" w:rsidRDefault="003E3F56" w:rsidP="00892AEB">
      <w:pPr>
        <w:spacing w:before="120" w:after="120"/>
        <w:jc w:val="center"/>
      </w:pPr>
      <w:bookmarkStart w:id="0" w:name="_GoBack"/>
      <w:r>
        <w:lastRenderedPageBreak/>
        <w:t>Needs Assessment</w:t>
      </w:r>
    </w:p>
    <w:bookmarkEnd w:id="0"/>
    <w:p w:rsidR="003E3F56" w:rsidRPr="00E13268" w:rsidRDefault="003E3F56" w:rsidP="00892AEB">
      <w:pPr>
        <w:spacing w:before="120" w:after="120"/>
        <w:rPr>
          <w:b/>
        </w:rPr>
      </w:pPr>
      <w:r w:rsidRPr="00E13268">
        <w:rPr>
          <w:b/>
        </w:rPr>
        <w:t>Introduction</w:t>
      </w:r>
    </w:p>
    <w:p w:rsidR="00774F70" w:rsidRPr="00774F70" w:rsidRDefault="00774F70" w:rsidP="00892AEB">
      <w:pPr>
        <w:spacing w:before="120" w:after="120"/>
        <w:ind w:firstLine="720"/>
        <w:rPr>
          <w:rFonts w:eastAsia="Times New Roman" w:cs="Times New Roman"/>
          <w:color w:val="0E101A"/>
          <w:szCs w:val="24"/>
        </w:rPr>
      </w:pPr>
      <w:r w:rsidRPr="00774F70">
        <w:rPr>
          <w:rFonts w:eastAsia="Times New Roman" w:cs="Times New Roman"/>
          <w:color w:val="0E101A"/>
          <w:szCs w:val="24"/>
        </w:rPr>
        <w:t>The Joint Commission agency concentrates on performance improvement measures that aid health institutions constantly improve the quality of care and safety, thereby lowering the risk of low-quality care along with medical errors. It has proposed the implementation of a fall prevention and reduction program seeking to mitigate the risks of falls prevalent in the geriatric population. The Joint Commission’s mission is “to continuously improve health care for the public, in collaboration with other stakeholders, by evaluating health care organizations and inspiring them to excel in providing safe and effective care of the highest quality and value.” The agency was founded in 1951 and has exceedingly been involved in various health care activities such as identification of patient safety risks and proper recognition of patients requiring urgent medical services. The paper seeks to assess a risk management program that guarantees a safe patient environment and care that encompasses a community focus.</w:t>
      </w:r>
    </w:p>
    <w:p w:rsidR="00774F70" w:rsidRPr="00774F70" w:rsidRDefault="00FB7657" w:rsidP="00892AEB">
      <w:pPr>
        <w:spacing w:before="120" w:after="120"/>
        <w:rPr>
          <w:rFonts w:eastAsia="Times New Roman" w:cs="Times New Roman"/>
          <w:color w:val="0E101A"/>
          <w:szCs w:val="24"/>
        </w:rPr>
      </w:pPr>
      <w:r w:rsidRPr="00774F70">
        <w:rPr>
          <w:rFonts w:eastAsia="Times New Roman" w:cs="Times New Roman"/>
          <w:b/>
          <w:bCs/>
          <w:color w:val="0E101A"/>
          <w:szCs w:val="24"/>
        </w:rPr>
        <w:t>Fall Prevention and Reduction Program</w:t>
      </w:r>
    </w:p>
    <w:p w:rsidR="00774F70" w:rsidRPr="00774F70" w:rsidRDefault="00774F70" w:rsidP="00892AEB">
      <w:pPr>
        <w:spacing w:before="120" w:after="120"/>
        <w:ind w:firstLine="720"/>
        <w:rPr>
          <w:rFonts w:eastAsia="Times New Roman" w:cs="Times New Roman"/>
          <w:color w:val="0E101A"/>
          <w:szCs w:val="24"/>
        </w:rPr>
      </w:pPr>
      <w:r w:rsidRPr="00774F70">
        <w:rPr>
          <w:rFonts w:eastAsia="Times New Roman" w:cs="Times New Roman"/>
          <w:color w:val="0E101A"/>
          <w:szCs w:val="24"/>
        </w:rPr>
        <w:t xml:space="preserve">The selected risk management plan is fall prevention and reduction program that targets the geriatric population in the community. The program focuses on recognizing individuals vulnerable to falls in the community and implements appropriate procedures for addressing their problems. The program seeks to provide an evidence-based practice intervention to help mitigate the risks of falls among the geriatric population. According to the Centers for Disease Control and Prevention (CDC), virtually 36 million older adults fall every year. This has resulted in over 32,000 deaths (Vaishya, &amp; </w:t>
      </w:r>
      <w:proofErr w:type="spellStart"/>
      <w:r w:rsidRPr="00774F70">
        <w:rPr>
          <w:rFonts w:eastAsia="Times New Roman" w:cs="Times New Roman"/>
          <w:color w:val="0E101A"/>
          <w:szCs w:val="24"/>
        </w:rPr>
        <w:t>Vaish</w:t>
      </w:r>
      <w:proofErr w:type="spellEnd"/>
      <w:r w:rsidRPr="00774F70">
        <w:rPr>
          <w:rFonts w:eastAsia="Times New Roman" w:cs="Times New Roman"/>
          <w:color w:val="0E101A"/>
          <w:szCs w:val="24"/>
        </w:rPr>
        <w:t>, 2020). Approximately 3 million geriatric individuals receive treatment in emergency departments due to a fall injury. In every five falls, one leads to an injury like broken bones or injuries to the head.</w:t>
      </w:r>
    </w:p>
    <w:p w:rsidR="00774F70" w:rsidRPr="00774F70" w:rsidRDefault="00774F70" w:rsidP="00892AEB">
      <w:pPr>
        <w:spacing w:before="120" w:after="120"/>
        <w:rPr>
          <w:rFonts w:eastAsia="Times New Roman" w:cs="Times New Roman"/>
          <w:color w:val="0E101A"/>
          <w:szCs w:val="24"/>
        </w:rPr>
      </w:pPr>
      <w:r w:rsidRPr="00774F70">
        <w:rPr>
          <w:rFonts w:eastAsia="Times New Roman" w:cs="Times New Roman"/>
          <w:b/>
          <w:bCs/>
          <w:color w:val="0E101A"/>
          <w:szCs w:val="24"/>
        </w:rPr>
        <w:lastRenderedPageBreak/>
        <w:t xml:space="preserve">Rationale </w:t>
      </w:r>
      <w:r w:rsidR="00FB7657" w:rsidRPr="00774F70">
        <w:rPr>
          <w:rFonts w:eastAsia="Times New Roman" w:cs="Times New Roman"/>
          <w:b/>
          <w:bCs/>
          <w:color w:val="0E101A"/>
          <w:szCs w:val="24"/>
        </w:rPr>
        <w:t xml:space="preserve">and </w:t>
      </w:r>
      <w:r w:rsidRPr="00774F70">
        <w:rPr>
          <w:rFonts w:eastAsia="Times New Roman" w:cs="Times New Roman"/>
          <w:b/>
          <w:bCs/>
          <w:color w:val="0E101A"/>
          <w:szCs w:val="24"/>
        </w:rPr>
        <w:t xml:space="preserve">Need </w:t>
      </w:r>
      <w:r w:rsidR="00FB7657" w:rsidRPr="00774F70">
        <w:rPr>
          <w:rFonts w:eastAsia="Times New Roman" w:cs="Times New Roman"/>
          <w:b/>
          <w:bCs/>
          <w:color w:val="0E101A"/>
          <w:szCs w:val="24"/>
        </w:rPr>
        <w:t>for The Program </w:t>
      </w:r>
    </w:p>
    <w:p w:rsidR="00774F70" w:rsidRPr="00774F70" w:rsidRDefault="00774F70" w:rsidP="00892AEB">
      <w:pPr>
        <w:spacing w:before="120" w:after="120"/>
        <w:ind w:firstLine="720"/>
        <w:rPr>
          <w:rFonts w:eastAsia="Times New Roman" w:cs="Times New Roman"/>
          <w:color w:val="0E101A"/>
          <w:szCs w:val="24"/>
        </w:rPr>
      </w:pPr>
      <w:r w:rsidRPr="00774F70">
        <w:rPr>
          <w:rFonts w:eastAsia="Times New Roman" w:cs="Times New Roman"/>
          <w:color w:val="0E101A"/>
          <w:szCs w:val="24"/>
        </w:rPr>
        <w:t>The plan acknowledges prevention as a fundamental step to address fall reduction. Its rationale is to ensure that individuals comprising the geriatric population are not exposed to the risks of falls. This is because falls have significant health problems such as injuries as well as increased healthcare costs. In America, falls are common among individuals aged 65 and older. The Centers for Disease Control and Prevention (CDC) reports that an older adult – 65 years and older – in the US suffers a fall every second of each day (Jehu, Davis, &amp; Liu-Ambrose, 2020). Falls are characterized by the development of various injuries such as bone fractures, head injuries, and hip fractures among others.</w:t>
      </w:r>
    </w:p>
    <w:p w:rsidR="00774F70" w:rsidRPr="00774F70" w:rsidRDefault="00774F70" w:rsidP="00892AEB">
      <w:pPr>
        <w:spacing w:before="120" w:after="120"/>
        <w:rPr>
          <w:rFonts w:eastAsia="Times New Roman" w:cs="Times New Roman"/>
          <w:color w:val="0E101A"/>
          <w:szCs w:val="24"/>
        </w:rPr>
      </w:pPr>
      <w:r w:rsidRPr="00774F70">
        <w:rPr>
          <w:rFonts w:eastAsia="Times New Roman" w:cs="Times New Roman"/>
          <w:color w:val="0E101A"/>
          <w:szCs w:val="24"/>
        </w:rPr>
        <w:t> </w:t>
      </w:r>
      <w:r w:rsidRPr="00774F70">
        <w:rPr>
          <w:rFonts w:eastAsia="Times New Roman" w:cs="Times New Roman"/>
          <w:b/>
          <w:bCs/>
          <w:color w:val="0E101A"/>
          <w:szCs w:val="24"/>
        </w:rPr>
        <w:t>Standard Administrative Steps and Processes</w:t>
      </w:r>
    </w:p>
    <w:p w:rsidR="003A541C" w:rsidRDefault="00774F70" w:rsidP="00892AEB">
      <w:pPr>
        <w:spacing w:before="120" w:after="120"/>
        <w:ind w:firstLine="720"/>
        <w:rPr>
          <w:rFonts w:eastAsia="Times New Roman" w:cs="Times New Roman"/>
          <w:color w:val="0E101A"/>
          <w:szCs w:val="24"/>
        </w:rPr>
      </w:pPr>
      <w:r w:rsidRPr="00774F70">
        <w:rPr>
          <w:rFonts w:eastAsia="Times New Roman" w:cs="Times New Roman"/>
          <w:color w:val="0E101A"/>
          <w:szCs w:val="24"/>
        </w:rPr>
        <w:t>The process of risk management in the healthcare sector encapsulates identifying the context, risk identification, analysis of risks, risk evaluation as well as management of risks. Identification of the context encompasses recognizing high-priority areas requiring risk management regarding patient care (</w:t>
      </w:r>
      <w:proofErr w:type="spellStart"/>
      <w:r w:rsidRPr="00774F70">
        <w:rPr>
          <w:rFonts w:eastAsia="Times New Roman" w:cs="Times New Roman"/>
          <w:color w:val="0E101A"/>
          <w:szCs w:val="24"/>
        </w:rPr>
        <w:t>Gott</w:t>
      </w:r>
      <w:proofErr w:type="spellEnd"/>
      <w:r w:rsidRPr="00774F70">
        <w:rPr>
          <w:rFonts w:eastAsia="Times New Roman" w:cs="Times New Roman"/>
          <w:color w:val="0E101A"/>
          <w:szCs w:val="24"/>
        </w:rPr>
        <w:t>, 2020). The second step involves the identification of risks in the community. The third step is risk analysis where the potential risk factor that makes the population vulnerable to the health problem becomes analyzed. The fourth step is risk evaluation where risks are prioritized according to their severity based on the risk analysis score.</w:t>
      </w:r>
    </w:p>
    <w:p w:rsidR="00774F70" w:rsidRPr="00774F70" w:rsidRDefault="00774F70" w:rsidP="00892AEB">
      <w:pPr>
        <w:spacing w:before="120" w:after="120"/>
        <w:ind w:firstLine="720"/>
        <w:rPr>
          <w:rFonts w:eastAsia="Times New Roman" w:cs="Times New Roman"/>
          <w:color w:val="0E101A"/>
          <w:szCs w:val="24"/>
        </w:rPr>
      </w:pPr>
      <w:r w:rsidRPr="00774F70">
        <w:rPr>
          <w:rFonts w:eastAsia="Times New Roman" w:cs="Times New Roman"/>
          <w:color w:val="0E101A"/>
          <w:szCs w:val="24"/>
        </w:rPr>
        <w:t>The last step is risk management that involves the implementation of appropriate measures to avert and abate the likelihood of the risk from occurring.</w:t>
      </w:r>
      <w:r w:rsidR="00D53A24">
        <w:rPr>
          <w:rFonts w:eastAsia="Times New Roman" w:cs="Times New Roman"/>
          <w:color w:val="0E101A"/>
          <w:szCs w:val="24"/>
        </w:rPr>
        <w:t xml:space="preserve"> </w:t>
      </w:r>
      <w:r w:rsidRPr="00774F70">
        <w:rPr>
          <w:rFonts w:eastAsia="Times New Roman" w:cs="Times New Roman"/>
          <w:color w:val="0E101A"/>
          <w:szCs w:val="24"/>
        </w:rPr>
        <w:t xml:space="preserve">The healthcare sector impacts every individual in the community thus the quality of care administered is a vital determinant of the health market competition. This is because health organizations providing high-quality healthcare services are preferred by consumers over those providing low-quality healthcare services. Hence it is necessary to incorporate an effective risk management technique </w:t>
      </w:r>
      <w:r w:rsidRPr="00774F70">
        <w:rPr>
          <w:rFonts w:eastAsia="Times New Roman" w:cs="Times New Roman"/>
          <w:color w:val="0E101A"/>
          <w:szCs w:val="24"/>
        </w:rPr>
        <w:lastRenderedPageBreak/>
        <w:t>in healthcare institutions. For improved and better outcomes to be realized within the healthcare industry, the Total Quality Management (TQM) technique has to be integrated. The incorporation of TQM techniques like risk management programs within healthcare institutions aims at managing the likely risks that organizations may experience. This would lead to lowering healthcare costs while bolstering customer satisfaction with healthcare services provided by health organizations (</w:t>
      </w:r>
      <w:proofErr w:type="spellStart"/>
      <w:r w:rsidRPr="00774F70">
        <w:rPr>
          <w:rFonts w:eastAsia="Times New Roman" w:cs="Times New Roman"/>
          <w:color w:val="0E101A"/>
          <w:szCs w:val="24"/>
        </w:rPr>
        <w:t>Heng</w:t>
      </w:r>
      <w:proofErr w:type="spellEnd"/>
      <w:r w:rsidRPr="00774F70">
        <w:rPr>
          <w:rFonts w:eastAsia="Times New Roman" w:cs="Times New Roman"/>
          <w:color w:val="0E101A"/>
          <w:szCs w:val="24"/>
        </w:rPr>
        <w:t xml:space="preserve"> et al., 2020). The objective of risk management programs can be attained by nurturing a culture that embraces the management of risks through evidence-based practice. </w:t>
      </w:r>
    </w:p>
    <w:p w:rsidR="00774F70" w:rsidRPr="00774F70" w:rsidRDefault="00774F70" w:rsidP="00892AEB">
      <w:pPr>
        <w:spacing w:before="120" w:after="120"/>
        <w:rPr>
          <w:rFonts w:eastAsia="Times New Roman" w:cs="Times New Roman"/>
          <w:color w:val="0E101A"/>
          <w:szCs w:val="24"/>
        </w:rPr>
      </w:pPr>
      <w:r w:rsidRPr="00774F70">
        <w:rPr>
          <w:rFonts w:eastAsia="Times New Roman" w:cs="Times New Roman"/>
          <w:b/>
          <w:bCs/>
          <w:color w:val="0E101A"/>
          <w:szCs w:val="24"/>
        </w:rPr>
        <w:t>Evaluation of the Compliance</w:t>
      </w:r>
    </w:p>
    <w:p w:rsidR="00774F70" w:rsidRPr="00774F70" w:rsidRDefault="00774F70" w:rsidP="00892AEB">
      <w:pPr>
        <w:spacing w:before="120" w:after="120"/>
        <w:rPr>
          <w:rFonts w:eastAsia="Times New Roman" w:cs="Times New Roman"/>
          <w:color w:val="0E101A"/>
          <w:szCs w:val="24"/>
        </w:rPr>
      </w:pPr>
      <w:r w:rsidRPr="00774F70">
        <w:rPr>
          <w:rFonts w:eastAsia="Times New Roman" w:cs="Times New Roman"/>
          <w:color w:val="0E101A"/>
          <w:szCs w:val="24"/>
        </w:rPr>
        <w:t>      </w:t>
      </w:r>
      <w:r w:rsidR="00671899">
        <w:rPr>
          <w:rFonts w:eastAsia="Times New Roman" w:cs="Times New Roman"/>
          <w:color w:val="0E101A"/>
          <w:szCs w:val="24"/>
        </w:rPr>
        <w:tab/>
      </w:r>
      <w:r w:rsidRPr="00774F70">
        <w:rPr>
          <w:rFonts w:eastAsia="Times New Roman" w:cs="Times New Roman"/>
          <w:color w:val="0E101A"/>
          <w:szCs w:val="24"/>
        </w:rPr>
        <w:t>The fall prevention plan conforms to the requirements of the Joint Commission to constantly augment the safety and quality of care. Also, it upholds the DHQP’s requirement to bolster patient safety. The Joint Commission plays a critical role in aiding healthcare organizations within the community to prevent falls in the elderly thus ensuring they are not vulnerable to consequent injuries like unintentional injuries and injury deaths (Campbell, &amp; Leger, 2020). The program is vital for creating awareness about the need to avert falls in older adults by communicating safety information to community members and health care providers as well as integrates safety precautions in education and offering of care to patients. Since everyone is responsible for the implementation of the fall prevention and reduction program, the community, nursing staff, physicians, quality health managers, physical and occupational therapists were integrated during its design. The program complied with the state and national policies alongside health institutions regulating patient safety. In this essence, it aimed aims at reducing falls and consequent injuries in geriatric populations.</w:t>
      </w:r>
    </w:p>
    <w:p w:rsidR="00774F70" w:rsidRPr="00FB7657" w:rsidRDefault="00774F70" w:rsidP="00892AEB">
      <w:pPr>
        <w:spacing w:before="120" w:after="120"/>
        <w:jc w:val="center"/>
        <w:rPr>
          <w:rFonts w:eastAsia="Times New Roman" w:cs="Times New Roman"/>
          <w:b/>
          <w:color w:val="0E101A"/>
          <w:szCs w:val="24"/>
        </w:rPr>
      </w:pPr>
      <w:r w:rsidRPr="00FB7657">
        <w:rPr>
          <w:rFonts w:eastAsia="Times New Roman" w:cs="Times New Roman"/>
          <w:b/>
          <w:color w:val="0E101A"/>
          <w:szCs w:val="24"/>
        </w:rPr>
        <w:t>Conclusion</w:t>
      </w:r>
    </w:p>
    <w:p w:rsidR="00774F70" w:rsidRPr="00774F70" w:rsidRDefault="00774F70" w:rsidP="00892AEB">
      <w:pPr>
        <w:spacing w:before="120" w:after="120"/>
        <w:ind w:firstLine="720"/>
        <w:rPr>
          <w:rFonts w:eastAsia="Times New Roman" w:cs="Times New Roman"/>
          <w:color w:val="0E101A"/>
          <w:szCs w:val="24"/>
        </w:rPr>
      </w:pPr>
      <w:r w:rsidRPr="00774F70">
        <w:rPr>
          <w:rFonts w:eastAsia="Times New Roman" w:cs="Times New Roman"/>
          <w:color w:val="0E101A"/>
          <w:szCs w:val="24"/>
        </w:rPr>
        <w:lastRenderedPageBreak/>
        <w:t>Fall prevention and reduction plan is a vital risk management program that will help mitigate or minimize falls among older populations. Falls have significant adverse implications on geriatric populations. For instance, they are considered the leading cause of unintentional injuries, injury deaths as well as hospital admissions for traumatic experiences among older adults. Thus falls can affect the quality of life and independence of geriatric populations. Consequently, it is necessary for a fall prevention and reduction program to be implemented within community health facilities to prevent falls in the elderly. The Joint Commission agency should consider regulating the provision of safe care that seeks to prevent falls among the elderly.</w:t>
      </w:r>
    </w:p>
    <w:p w:rsidR="00892AEB" w:rsidRDefault="00892AEB">
      <w:pPr>
        <w:spacing w:after="160" w:line="259" w:lineRule="auto"/>
      </w:pPr>
      <w:r>
        <w:br w:type="page"/>
      </w:r>
    </w:p>
    <w:p w:rsidR="0063116A" w:rsidRPr="0063116A" w:rsidRDefault="003E3F56" w:rsidP="00892AEB">
      <w:pPr>
        <w:spacing w:before="120" w:after="120"/>
        <w:ind w:firstLine="720"/>
        <w:jc w:val="center"/>
      </w:pPr>
      <w:r>
        <w:lastRenderedPageBreak/>
        <w:t>References</w:t>
      </w:r>
    </w:p>
    <w:p w:rsidR="0063116A" w:rsidRPr="00CE1426" w:rsidRDefault="0063116A" w:rsidP="00892AEB">
      <w:pPr>
        <w:spacing w:before="120" w:after="120"/>
        <w:ind w:left="720" w:hanging="720"/>
        <w:rPr>
          <w:rFonts w:eastAsia="Times New Roman" w:cs="Times New Roman"/>
          <w:szCs w:val="24"/>
        </w:rPr>
      </w:pPr>
      <w:r w:rsidRPr="00CE1426">
        <w:rPr>
          <w:rFonts w:eastAsia="Times New Roman" w:cs="Times New Roman"/>
          <w:szCs w:val="24"/>
        </w:rPr>
        <w:t xml:space="preserve">Campbell, R. W., &amp; Leger, J. M. (2020). Preparing for a Joint Commission Survey: An Innovative Approach to Learning. </w:t>
      </w:r>
      <w:r w:rsidRPr="00CE1426">
        <w:rPr>
          <w:rFonts w:eastAsia="Times New Roman" w:cs="Times New Roman"/>
          <w:i/>
          <w:iCs/>
          <w:szCs w:val="24"/>
        </w:rPr>
        <w:t>Nursing education perspectives</w:t>
      </w:r>
      <w:r w:rsidRPr="00CE1426">
        <w:rPr>
          <w:rFonts w:eastAsia="Times New Roman" w:cs="Times New Roman"/>
          <w:szCs w:val="24"/>
        </w:rPr>
        <w:t xml:space="preserve">, </w:t>
      </w:r>
      <w:r w:rsidRPr="00CE1426">
        <w:rPr>
          <w:rFonts w:eastAsia="Times New Roman" w:cs="Times New Roman"/>
          <w:i/>
          <w:iCs/>
          <w:szCs w:val="24"/>
        </w:rPr>
        <w:t>41</w:t>
      </w:r>
      <w:r w:rsidRPr="00CE1426">
        <w:rPr>
          <w:rFonts w:eastAsia="Times New Roman" w:cs="Times New Roman"/>
          <w:szCs w:val="24"/>
        </w:rPr>
        <w:t>(5), 315-316.</w:t>
      </w:r>
    </w:p>
    <w:p w:rsidR="0063116A" w:rsidRPr="00CE1426" w:rsidRDefault="0063116A" w:rsidP="00892AEB">
      <w:pPr>
        <w:spacing w:before="120" w:after="120"/>
        <w:ind w:left="720" w:hanging="720"/>
        <w:rPr>
          <w:rFonts w:eastAsia="Times New Roman" w:cs="Times New Roman"/>
          <w:szCs w:val="24"/>
        </w:rPr>
      </w:pPr>
      <w:proofErr w:type="spellStart"/>
      <w:r w:rsidRPr="00CE1426">
        <w:rPr>
          <w:rFonts w:eastAsia="Times New Roman" w:cs="Times New Roman"/>
          <w:szCs w:val="24"/>
        </w:rPr>
        <w:t>Gott</w:t>
      </w:r>
      <w:proofErr w:type="spellEnd"/>
      <w:r w:rsidRPr="00CE1426">
        <w:rPr>
          <w:rFonts w:eastAsia="Times New Roman" w:cs="Times New Roman"/>
          <w:szCs w:val="24"/>
        </w:rPr>
        <w:t xml:space="preserve">, H. L. (2020). </w:t>
      </w:r>
      <w:r w:rsidR="00892AEB" w:rsidRPr="00CE1426">
        <w:rPr>
          <w:rFonts w:eastAsia="Times New Roman" w:cs="Times New Roman"/>
          <w:szCs w:val="24"/>
        </w:rPr>
        <w:t>Implementation of a fall prevention program</w:t>
      </w:r>
      <w:r w:rsidRPr="00CE1426">
        <w:rPr>
          <w:rFonts w:eastAsia="Times New Roman" w:cs="Times New Roman"/>
          <w:szCs w:val="24"/>
        </w:rPr>
        <w:t>.</w:t>
      </w:r>
    </w:p>
    <w:p w:rsidR="0063116A" w:rsidRPr="00CE1426" w:rsidRDefault="0063116A" w:rsidP="00892AEB">
      <w:pPr>
        <w:spacing w:before="120" w:after="120"/>
        <w:ind w:left="720" w:hanging="720"/>
        <w:rPr>
          <w:rFonts w:eastAsia="Times New Roman" w:cs="Times New Roman"/>
          <w:szCs w:val="24"/>
        </w:rPr>
      </w:pPr>
      <w:proofErr w:type="spellStart"/>
      <w:r w:rsidRPr="00CE1426">
        <w:rPr>
          <w:rFonts w:eastAsia="Times New Roman" w:cs="Times New Roman"/>
          <w:szCs w:val="24"/>
        </w:rPr>
        <w:t>Heng</w:t>
      </w:r>
      <w:proofErr w:type="spellEnd"/>
      <w:r w:rsidRPr="00CE1426">
        <w:rPr>
          <w:rFonts w:eastAsia="Times New Roman" w:cs="Times New Roman"/>
          <w:szCs w:val="24"/>
        </w:rPr>
        <w:t xml:space="preserve">, H., </w:t>
      </w:r>
      <w:proofErr w:type="spellStart"/>
      <w:r w:rsidRPr="00CE1426">
        <w:rPr>
          <w:rFonts w:eastAsia="Times New Roman" w:cs="Times New Roman"/>
          <w:szCs w:val="24"/>
        </w:rPr>
        <w:t>Jazayeri</w:t>
      </w:r>
      <w:proofErr w:type="spellEnd"/>
      <w:r w:rsidRPr="00CE1426">
        <w:rPr>
          <w:rFonts w:eastAsia="Times New Roman" w:cs="Times New Roman"/>
          <w:szCs w:val="24"/>
        </w:rPr>
        <w:t xml:space="preserve">, D., Shaw, L., </w:t>
      </w:r>
      <w:proofErr w:type="spellStart"/>
      <w:r w:rsidRPr="00CE1426">
        <w:rPr>
          <w:rFonts w:eastAsia="Times New Roman" w:cs="Times New Roman"/>
          <w:szCs w:val="24"/>
        </w:rPr>
        <w:t>Kiegaldie</w:t>
      </w:r>
      <w:proofErr w:type="spellEnd"/>
      <w:r w:rsidRPr="00CE1426">
        <w:rPr>
          <w:rFonts w:eastAsia="Times New Roman" w:cs="Times New Roman"/>
          <w:szCs w:val="24"/>
        </w:rPr>
        <w:t xml:space="preserve">, D., Hill, A. M., &amp; Morris, M. E. (2020). Hospital falls prevention with patient education: a scoping review. </w:t>
      </w:r>
      <w:r w:rsidRPr="00CE1426">
        <w:rPr>
          <w:rFonts w:eastAsia="Times New Roman" w:cs="Times New Roman"/>
          <w:i/>
          <w:iCs/>
          <w:szCs w:val="24"/>
        </w:rPr>
        <w:t>BMC geriatrics</w:t>
      </w:r>
      <w:r w:rsidRPr="00CE1426">
        <w:rPr>
          <w:rFonts w:eastAsia="Times New Roman" w:cs="Times New Roman"/>
          <w:szCs w:val="24"/>
        </w:rPr>
        <w:t xml:space="preserve">, </w:t>
      </w:r>
      <w:r w:rsidRPr="00CE1426">
        <w:rPr>
          <w:rFonts w:eastAsia="Times New Roman" w:cs="Times New Roman"/>
          <w:i/>
          <w:iCs/>
          <w:szCs w:val="24"/>
        </w:rPr>
        <w:t>20</w:t>
      </w:r>
      <w:r w:rsidRPr="00CE1426">
        <w:rPr>
          <w:rFonts w:eastAsia="Times New Roman" w:cs="Times New Roman"/>
          <w:szCs w:val="24"/>
        </w:rPr>
        <w:t>, 1-12.</w:t>
      </w:r>
    </w:p>
    <w:p w:rsidR="0063116A" w:rsidRDefault="0063116A" w:rsidP="00892AEB">
      <w:pPr>
        <w:spacing w:before="120" w:after="120"/>
        <w:ind w:left="720" w:hanging="720"/>
        <w:rPr>
          <w:rFonts w:eastAsia="Times New Roman" w:cs="Times New Roman"/>
          <w:szCs w:val="24"/>
        </w:rPr>
      </w:pPr>
      <w:r w:rsidRPr="00CE1426">
        <w:rPr>
          <w:rFonts w:eastAsia="Times New Roman" w:cs="Times New Roman"/>
          <w:szCs w:val="24"/>
        </w:rPr>
        <w:t xml:space="preserve">Jehu, D. A., Davis, J. C., &amp; Liu-Ambrose, T. (2020). Risk factors for recurrent falls in older adults: a study protocol for a systematic review with meta-analysis. </w:t>
      </w:r>
      <w:r w:rsidRPr="00CE1426">
        <w:rPr>
          <w:rFonts w:eastAsia="Times New Roman" w:cs="Times New Roman"/>
          <w:i/>
          <w:iCs/>
          <w:szCs w:val="24"/>
        </w:rPr>
        <w:t>BMJ open</w:t>
      </w:r>
      <w:r w:rsidRPr="00CE1426">
        <w:rPr>
          <w:rFonts w:eastAsia="Times New Roman" w:cs="Times New Roman"/>
          <w:szCs w:val="24"/>
        </w:rPr>
        <w:t xml:space="preserve">, </w:t>
      </w:r>
      <w:r w:rsidRPr="00CE1426">
        <w:rPr>
          <w:rFonts w:eastAsia="Times New Roman" w:cs="Times New Roman"/>
          <w:i/>
          <w:iCs/>
          <w:szCs w:val="24"/>
        </w:rPr>
        <w:t>10</w:t>
      </w:r>
      <w:r w:rsidRPr="00CE1426">
        <w:rPr>
          <w:rFonts w:eastAsia="Times New Roman" w:cs="Times New Roman"/>
          <w:szCs w:val="24"/>
        </w:rPr>
        <w:t>(5), e033602.</w:t>
      </w:r>
    </w:p>
    <w:p w:rsidR="0063116A" w:rsidRPr="00664F80" w:rsidRDefault="0063116A" w:rsidP="00892AEB">
      <w:pPr>
        <w:spacing w:before="120" w:after="120"/>
        <w:ind w:left="720" w:hanging="720"/>
        <w:rPr>
          <w:rFonts w:eastAsia="Times New Roman" w:cs="Times New Roman"/>
          <w:szCs w:val="24"/>
        </w:rPr>
      </w:pPr>
      <w:r w:rsidRPr="00664F80">
        <w:rPr>
          <w:rFonts w:eastAsia="Times New Roman" w:cs="Times New Roman"/>
          <w:szCs w:val="24"/>
        </w:rPr>
        <w:t xml:space="preserve">Vaishya, R., &amp; </w:t>
      </w:r>
      <w:proofErr w:type="spellStart"/>
      <w:r w:rsidRPr="00664F80">
        <w:rPr>
          <w:rFonts w:eastAsia="Times New Roman" w:cs="Times New Roman"/>
          <w:szCs w:val="24"/>
        </w:rPr>
        <w:t>Vaish</w:t>
      </w:r>
      <w:proofErr w:type="spellEnd"/>
      <w:r w:rsidRPr="00664F80">
        <w:rPr>
          <w:rFonts w:eastAsia="Times New Roman" w:cs="Times New Roman"/>
          <w:szCs w:val="24"/>
        </w:rPr>
        <w:t xml:space="preserve">, A. (2020). Falls in older adults are serious. </w:t>
      </w:r>
      <w:r w:rsidRPr="00664F80">
        <w:rPr>
          <w:rFonts w:eastAsia="Times New Roman" w:cs="Times New Roman"/>
          <w:i/>
          <w:iCs/>
          <w:szCs w:val="24"/>
        </w:rPr>
        <w:t xml:space="preserve">Indian journal of </w:t>
      </w:r>
      <w:proofErr w:type="spellStart"/>
      <w:r w:rsidRPr="00664F80">
        <w:rPr>
          <w:rFonts w:eastAsia="Times New Roman" w:cs="Times New Roman"/>
          <w:i/>
          <w:iCs/>
          <w:szCs w:val="24"/>
        </w:rPr>
        <w:t>orthopaedics</w:t>
      </w:r>
      <w:proofErr w:type="spellEnd"/>
      <w:r w:rsidRPr="00664F80">
        <w:rPr>
          <w:rFonts w:eastAsia="Times New Roman" w:cs="Times New Roman"/>
          <w:szCs w:val="24"/>
        </w:rPr>
        <w:t xml:space="preserve">, </w:t>
      </w:r>
      <w:r w:rsidRPr="00664F80">
        <w:rPr>
          <w:rFonts w:eastAsia="Times New Roman" w:cs="Times New Roman"/>
          <w:i/>
          <w:iCs/>
          <w:szCs w:val="24"/>
        </w:rPr>
        <w:t>54</w:t>
      </w:r>
      <w:r w:rsidRPr="00664F80">
        <w:rPr>
          <w:rFonts w:eastAsia="Times New Roman" w:cs="Times New Roman"/>
          <w:szCs w:val="24"/>
        </w:rPr>
        <w:t>(1), 69-74.</w:t>
      </w:r>
    </w:p>
    <w:p w:rsidR="003E3F56" w:rsidRDefault="003E3F56" w:rsidP="00892AEB">
      <w:pPr>
        <w:spacing w:before="120" w:after="120"/>
        <w:jc w:val="center"/>
      </w:pPr>
    </w:p>
    <w:p w:rsidR="003E3F56" w:rsidRPr="003E3F56" w:rsidRDefault="003E3F56" w:rsidP="00892AEB">
      <w:pPr>
        <w:spacing w:before="120" w:after="120"/>
        <w:jc w:val="center"/>
      </w:pPr>
    </w:p>
    <w:sectPr w:rsidR="003E3F56" w:rsidRPr="003E3F56" w:rsidSect="003E3F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47" w:rsidRDefault="00FE5447" w:rsidP="003E3F56">
      <w:pPr>
        <w:spacing w:after="0" w:line="240" w:lineRule="auto"/>
      </w:pPr>
      <w:r>
        <w:separator/>
      </w:r>
    </w:p>
  </w:endnote>
  <w:endnote w:type="continuationSeparator" w:id="0">
    <w:p w:rsidR="00FE5447" w:rsidRDefault="00FE5447" w:rsidP="003E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47" w:rsidRDefault="00FE5447" w:rsidP="003E3F56">
      <w:pPr>
        <w:spacing w:after="0" w:line="240" w:lineRule="auto"/>
      </w:pPr>
      <w:r>
        <w:separator/>
      </w:r>
    </w:p>
  </w:footnote>
  <w:footnote w:type="continuationSeparator" w:id="0">
    <w:p w:rsidR="00FE5447" w:rsidRDefault="00FE5447" w:rsidP="003E3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03228"/>
      <w:docPartObj>
        <w:docPartGallery w:val="Page Numbers (Top of Page)"/>
        <w:docPartUnique/>
      </w:docPartObj>
    </w:sdtPr>
    <w:sdtEndPr>
      <w:rPr>
        <w:noProof/>
      </w:rPr>
    </w:sdtEndPr>
    <w:sdtContent>
      <w:p w:rsidR="003E3F56" w:rsidRDefault="003E3F56">
        <w:pPr>
          <w:pStyle w:val="Header"/>
          <w:jc w:val="right"/>
        </w:pPr>
        <w:r>
          <w:t>NEEDS ASSESSMENT</w:t>
        </w:r>
        <w:r>
          <w:tab/>
        </w:r>
        <w:r>
          <w:tab/>
        </w:r>
        <w:r>
          <w:fldChar w:fldCharType="begin"/>
        </w:r>
        <w:r>
          <w:instrText xml:space="preserve"> PAGE   \* MERGEFORMAT </w:instrText>
        </w:r>
        <w:r>
          <w:fldChar w:fldCharType="separate"/>
        </w:r>
        <w:r w:rsidR="00892AEB">
          <w:rPr>
            <w:noProof/>
          </w:rPr>
          <w:t>6</w:t>
        </w:r>
        <w:r>
          <w:rPr>
            <w:noProof/>
          </w:rPr>
          <w:fldChar w:fldCharType="end"/>
        </w:r>
      </w:p>
    </w:sdtContent>
  </w:sdt>
  <w:p w:rsidR="003E3F56" w:rsidRDefault="003E3F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56" w:rsidRDefault="003E3F56">
    <w:pPr>
      <w:pStyle w:val="Header"/>
    </w:pPr>
    <w:r>
      <w:t>Running Head: NEEDS ASSESSMENT</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279BB"/>
    <w:multiLevelType w:val="hybridMultilevel"/>
    <w:tmpl w:val="5B6CA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E6"/>
    <w:rsid w:val="00000A29"/>
    <w:rsid w:val="00020BEE"/>
    <w:rsid w:val="000220BA"/>
    <w:rsid w:val="00031E0F"/>
    <w:rsid w:val="000411C7"/>
    <w:rsid w:val="00044FB5"/>
    <w:rsid w:val="00053C1C"/>
    <w:rsid w:val="00055827"/>
    <w:rsid w:val="00074A21"/>
    <w:rsid w:val="0009517C"/>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2E10"/>
    <w:rsid w:val="00185F47"/>
    <w:rsid w:val="00193C35"/>
    <w:rsid w:val="00196918"/>
    <w:rsid w:val="001B1EAB"/>
    <w:rsid w:val="001C1F8B"/>
    <w:rsid w:val="001C4FE6"/>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A541C"/>
    <w:rsid w:val="003C4412"/>
    <w:rsid w:val="003E01D4"/>
    <w:rsid w:val="003E3F56"/>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0749"/>
    <w:rsid w:val="004726E0"/>
    <w:rsid w:val="00474279"/>
    <w:rsid w:val="00475E00"/>
    <w:rsid w:val="00477425"/>
    <w:rsid w:val="00490CE9"/>
    <w:rsid w:val="00491EAF"/>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0006"/>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405D"/>
    <w:rsid w:val="0061634C"/>
    <w:rsid w:val="006305B0"/>
    <w:rsid w:val="0063116A"/>
    <w:rsid w:val="0063293D"/>
    <w:rsid w:val="00633D7D"/>
    <w:rsid w:val="00637283"/>
    <w:rsid w:val="0064231E"/>
    <w:rsid w:val="00647E75"/>
    <w:rsid w:val="00651841"/>
    <w:rsid w:val="0065435B"/>
    <w:rsid w:val="00657E66"/>
    <w:rsid w:val="00664F80"/>
    <w:rsid w:val="0067062A"/>
    <w:rsid w:val="00670B2C"/>
    <w:rsid w:val="00671899"/>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4F70"/>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2AEB"/>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203D9"/>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74E33"/>
    <w:rsid w:val="00A80134"/>
    <w:rsid w:val="00A80815"/>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6328"/>
    <w:rsid w:val="00C170AE"/>
    <w:rsid w:val="00C377EA"/>
    <w:rsid w:val="00C502A7"/>
    <w:rsid w:val="00C52EFC"/>
    <w:rsid w:val="00C563E2"/>
    <w:rsid w:val="00C72204"/>
    <w:rsid w:val="00C74BEA"/>
    <w:rsid w:val="00C806AE"/>
    <w:rsid w:val="00C80912"/>
    <w:rsid w:val="00C82B3A"/>
    <w:rsid w:val="00C85228"/>
    <w:rsid w:val="00C85373"/>
    <w:rsid w:val="00C87A0C"/>
    <w:rsid w:val="00C97F1D"/>
    <w:rsid w:val="00CA146C"/>
    <w:rsid w:val="00CB1686"/>
    <w:rsid w:val="00CB2AAF"/>
    <w:rsid w:val="00CB3F67"/>
    <w:rsid w:val="00CB692B"/>
    <w:rsid w:val="00CC3381"/>
    <w:rsid w:val="00CD125B"/>
    <w:rsid w:val="00CD3031"/>
    <w:rsid w:val="00CD555A"/>
    <w:rsid w:val="00CE1426"/>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3A24"/>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B7657"/>
    <w:rsid w:val="00FC7CE5"/>
    <w:rsid w:val="00FD415B"/>
    <w:rsid w:val="00FE2073"/>
    <w:rsid w:val="00FE2F28"/>
    <w:rsid w:val="00FE4EC4"/>
    <w:rsid w:val="00FE5447"/>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BDD67-45EF-4099-AC1F-C0815D54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FE6"/>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1C4FE6"/>
    <w:pPr>
      <w:ind w:left="720"/>
      <w:contextualSpacing/>
    </w:pPr>
  </w:style>
  <w:style w:type="paragraph" w:styleId="NormalWeb">
    <w:name w:val="Normal (Web)"/>
    <w:basedOn w:val="Normal"/>
    <w:uiPriority w:val="99"/>
    <w:semiHidden/>
    <w:unhideWhenUsed/>
    <w:rsid w:val="001C4FE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C4FE6"/>
    <w:rPr>
      <w:b/>
      <w:bCs/>
    </w:rPr>
  </w:style>
  <w:style w:type="paragraph" w:styleId="Header">
    <w:name w:val="header"/>
    <w:basedOn w:val="Normal"/>
    <w:link w:val="HeaderChar"/>
    <w:uiPriority w:val="99"/>
    <w:unhideWhenUsed/>
    <w:rsid w:val="003E3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56"/>
    <w:rPr>
      <w:rFonts w:ascii="Times New Roman" w:eastAsiaTheme="minorEastAsia" w:hAnsi="Times New Roman"/>
      <w:sz w:val="24"/>
    </w:rPr>
  </w:style>
  <w:style w:type="paragraph" w:styleId="Footer">
    <w:name w:val="footer"/>
    <w:basedOn w:val="Normal"/>
    <w:link w:val="FooterChar"/>
    <w:uiPriority w:val="99"/>
    <w:unhideWhenUsed/>
    <w:rsid w:val="003E3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56"/>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257184">
      <w:bodyDiv w:val="1"/>
      <w:marLeft w:val="0"/>
      <w:marRight w:val="0"/>
      <w:marTop w:val="0"/>
      <w:marBottom w:val="0"/>
      <w:divBdr>
        <w:top w:val="none" w:sz="0" w:space="0" w:color="auto"/>
        <w:left w:val="none" w:sz="0" w:space="0" w:color="auto"/>
        <w:bottom w:val="none" w:sz="0" w:space="0" w:color="auto"/>
        <w:right w:val="none" w:sz="0" w:space="0" w:color="auto"/>
      </w:divBdr>
    </w:div>
    <w:div w:id="620693916">
      <w:bodyDiv w:val="1"/>
      <w:marLeft w:val="0"/>
      <w:marRight w:val="0"/>
      <w:marTop w:val="0"/>
      <w:marBottom w:val="0"/>
      <w:divBdr>
        <w:top w:val="none" w:sz="0" w:space="0" w:color="auto"/>
        <w:left w:val="none" w:sz="0" w:space="0" w:color="auto"/>
        <w:bottom w:val="none" w:sz="0" w:space="0" w:color="auto"/>
        <w:right w:val="none" w:sz="0" w:space="0" w:color="auto"/>
      </w:divBdr>
      <w:divsChild>
        <w:div w:id="1068381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2021-03-19T20:06:00Z</dcterms:created>
  <dcterms:modified xsi:type="dcterms:W3CDTF">2021-03-19T20:06:00Z</dcterms:modified>
</cp:coreProperties>
</file>